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2702" w14:textId="2CD67C54" w:rsidR="004B5A84" w:rsidRDefault="004B5A84" w:rsidP="004B5A84">
      <w:pPr>
        <w:pStyle w:val="Heading1"/>
      </w:pPr>
      <w:r>
        <w:t xml:space="preserve">Template </w:t>
      </w:r>
      <w:r>
        <w:t>1</w:t>
      </w:r>
    </w:p>
    <w:p w14:paraId="2E25563E" w14:textId="7BB783CD" w:rsidR="00764C8C" w:rsidRDefault="00764C8C" w:rsidP="00764C8C">
      <w:r w:rsidRPr="004017A8">
        <w:t>Improving Patient Transfusion Safety by Enhancing Alloantibody Detection Via a Communal Inter-Institutional Electronic Antibody Registry</w:t>
      </w:r>
    </w:p>
    <w:p w14:paraId="6FD73551" w14:textId="77777777" w:rsidR="00764C8C" w:rsidRDefault="00764C8C" w:rsidP="00764C8C">
      <w:pPr>
        <w:spacing w:after="0" w:line="240" w:lineRule="auto"/>
      </w:pPr>
    </w:p>
    <w:p w14:paraId="618999A6" w14:textId="77777777" w:rsidR="004C58E1" w:rsidRDefault="004C58E1" w:rsidP="004C58E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S</w:t>
      </w:r>
      <w:r w:rsidRPr="00806BA6">
        <w:rPr>
          <w:u w:val="single"/>
        </w:rPr>
        <w:t>ituation</w:t>
      </w:r>
      <w:r>
        <w:t>:</w:t>
      </w:r>
    </w:p>
    <w:p w14:paraId="76D86C5D" w14:textId="374477A2" w:rsidR="004C58E1" w:rsidRDefault="004C58E1" w:rsidP="00F717D0">
      <w:pPr>
        <w:pStyle w:val="ListParagraph"/>
        <w:numPr>
          <w:ilvl w:val="1"/>
          <w:numId w:val="1"/>
        </w:numPr>
        <w:spacing w:line="240" w:lineRule="auto"/>
      </w:pPr>
      <w:r>
        <w:t>We seek to</w:t>
      </w:r>
      <w:r w:rsidR="002613C4">
        <w:t xml:space="preserve"> enhance blood transfusion safety by</w:t>
      </w:r>
      <w:r>
        <w:t xml:space="preserve"> </w:t>
      </w:r>
      <w:r w:rsidR="002613C4">
        <w:t>improving</w:t>
      </w:r>
      <w:r>
        <w:t xml:space="preserve"> the acquisition of historical and current alloantibody data for patient</w:t>
      </w:r>
      <w:r w:rsidRPr="002613C4">
        <w:t xml:space="preserve">s </w:t>
      </w:r>
      <w:r w:rsidR="002613C4">
        <w:t xml:space="preserve">undergoing </w:t>
      </w:r>
      <w:r w:rsidR="002613C4" w:rsidRPr="002613C4">
        <w:t xml:space="preserve">diagnostic testing </w:t>
      </w:r>
      <w:r w:rsidR="002613C4">
        <w:t xml:space="preserve">in </w:t>
      </w:r>
      <w:r w:rsidR="002613C4" w:rsidRPr="002613C4">
        <w:t xml:space="preserve">our blood bank </w:t>
      </w:r>
      <w:r w:rsidRPr="002613C4">
        <w:t>by</w:t>
      </w:r>
      <w:r>
        <w:t xml:space="preserve"> adopting inter-institutional blood bank networking software </w:t>
      </w:r>
      <w:r w:rsidR="002613C4">
        <w:t xml:space="preserve">using </w:t>
      </w:r>
      <w:r>
        <w:t xml:space="preserve">our current blood bank information system </w:t>
      </w:r>
      <w:r w:rsidR="00F717D0">
        <w:t xml:space="preserve">vendor </w:t>
      </w:r>
      <w:r>
        <w:t xml:space="preserve">and the </w:t>
      </w:r>
      <w:r w:rsidR="00F717D0">
        <w:t xml:space="preserve">not-for-profit </w:t>
      </w:r>
      <w:r w:rsidR="00F717D0" w:rsidRPr="00F717D0">
        <w:t>501(c)(3) Public Charity</w:t>
      </w:r>
      <w:r w:rsidR="00F717D0">
        <w:t>, “</w:t>
      </w:r>
      <w:r>
        <w:t>Alloantibody Exchange</w:t>
      </w:r>
      <w:r w:rsidR="00F717D0">
        <w:t>”</w:t>
      </w:r>
      <w:r w:rsidR="001D453F">
        <w:t xml:space="preserve">, </w:t>
      </w:r>
      <w:r w:rsidR="00F717D0">
        <w:t>(</w:t>
      </w:r>
      <w:r w:rsidR="001D453F" w:rsidRPr="001D453F">
        <w:t>https://www.alloantibody.org/</w:t>
      </w:r>
      <w:r w:rsidR="001D453F">
        <w:t>).</w:t>
      </w:r>
    </w:p>
    <w:p w14:paraId="67C21DAD" w14:textId="77777777" w:rsidR="004C58E1" w:rsidRDefault="004C58E1" w:rsidP="004C58E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B</w:t>
      </w:r>
      <w:r>
        <w:rPr>
          <w:u w:val="single"/>
        </w:rPr>
        <w:t>ackground</w:t>
      </w:r>
      <w:r>
        <w:t>:</w:t>
      </w:r>
    </w:p>
    <w:p w14:paraId="1CF95349" w14:textId="00348CEA" w:rsidR="004C58E1" w:rsidRDefault="004C58E1" w:rsidP="000809A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Alloantibodies </w:t>
      </w:r>
      <w:r w:rsidR="00B25CAA">
        <w:t xml:space="preserve">to blood constituents </w:t>
      </w:r>
      <w:r>
        <w:t>develop in response to exposure to another person’s tissue</w:t>
      </w:r>
      <w:r w:rsidR="00B25CAA">
        <w:t xml:space="preserve"> antigens</w:t>
      </w:r>
      <w:r>
        <w:t xml:space="preserve">, most commonly via </w:t>
      </w:r>
      <w:r w:rsidR="00B25CAA">
        <w:t>hemotherapy</w:t>
      </w:r>
      <w:r>
        <w:t xml:space="preserve"> and pregnancy. The mechanism is similar to vaccine induced immunity. </w:t>
      </w:r>
      <w:r w:rsidR="000809A6">
        <w:t>L</w:t>
      </w:r>
      <w:r>
        <w:t>ike a vaccine booster, repeated exposure</w:t>
      </w:r>
      <w:r w:rsidR="000809A6">
        <w:t>s</w:t>
      </w:r>
      <w:r>
        <w:t xml:space="preserve"> </w:t>
      </w:r>
      <w:r w:rsidR="00B25CAA">
        <w:t xml:space="preserve">of foreign antigenic structures </w:t>
      </w:r>
      <w:r>
        <w:t xml:space="preserve">stimulate the immune system to </w:t>
      </w:r>
      <w:r w:rsidR="00B202AD">
        <w:t>attack the foreign tissue more vigorously</w:t>
      </w:r>
      <w:r>
        <w:t xml:space="preserve"> (e.g., transfused blood, fetus). </w:t>
      </w:r>
      <w:r w:rsidRPr="00FF358B">
        <w:t>Therefore, identification</w:t>
      </w:r>
      <w:r w:rsidR="000809A6" w:rsidRPr="00FF358B">
        <w:t xml:space="preserve"> of alloreactivity in patients </w:t>
      </w:r>
      <w:r w:rsidRPr="00FF358B">
        <w:t xml:space="preserve">and </w:t>
      </w:r>
      <w:r w:rsidR="000809A6" w:rsidRPr="00FF358B">
        <w:t xml:space="preserve">pertinent selection </w:t>
      </w:r>
      <w:r w:rsidRPr="00FF358B">
        <w:t xml:space="preserve">of </w:t>
      </w:r>
      <w:r w:rsidR="000809A6" w:rsidRPr="00FF358B">
        <w:t xml:space="preserve">blood for transfusions to patients with </w:t>
      </w:r>
      <w:r w:rsidRPr="00FF358B">
        <w:t xml:space="preserve">alloantibodies </w:t>
      </w:r>
      <w:r w:rsidR="000809A6" w:rsidRPr="00FF358B">
        <w:t>are</w:t>
      </w:r>
      <w:r w:rsidRPr="00FF358B">
        <w:t xml:space="preserve"> essential </w:t>
      </w:r>
      <w:r w:rsidR="000809A6" w:rsidRPr="00FF358B">
        <w:t xml:space="preserve">for enhancing </w:t>
      </w:r>
      <w:r w:rsidRPr="00FF358B">
        <w:t xml:space="preserve">transfusion </w:t>
      </w:r>
      <w:r w:rsidR="000809A6" w:rsidRPr="00FF358B">
        <w:t>safety</w:t>
      </w:r>
      <w:r w:rsidR="00B25CAA" w:rsidRPr="00FF358B">
        <w:t>.</w:t>
      </w:r>
      <w:r w:rsidR="000809A6">
        <w:rPr>
          <w:u w:val="single"/>
        </w:rPr>
        <w:t xml:space="preserve"> </w:t>
      </w:r>
    </w:p>
    <w:p w14:paraId="23FCDE67" w14:textId="388D316D" w:rsidR="004C58E1" w:rsidRDefault="004C58E1" w:rsidP="004C58E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Blood banks </w:t>
      </w:r>
      <w:r w:rsidR="00B25CAA">
        <w:t xml:space="preserve">typically </w:t>
      </w:r>
      <w:r>
        <w:t xml:space="preserve">inquire about a patient’s alloantibody history because </w:t>
      </w:r>
      <w:r w:rsidR="00AD4E86">
        <w:t>titers of alloantibodies, over</w:t>
      </w:r>
      <w:r w:rsidR="00B25CAA">
        <w:t xml:space="preserve"> time, </w:t>
      </w:r>
      <w:r w:rsidR="00542A8B">
        <w:t xml:space="preserve">can </w:t>
      </w:r>
      <w:r>
        <w:t>wane</w:t>
      </w:r>
      <w:r w:rsidR="00B25CAA">
        <w:t xml:space="preserve"> </w:t>
      </w:r>
      <w:r w:rsidR="00542A8B">
        <w:t xml:space="preserve">to undetectable levels such as seen in </w:t>
      </w:r>
      <w:r>
        <w:t>vaccine</w:t>
      </w:r>
      <w:r w:rsidR="00542A8B">
        <w:t xml:space="preserve"> induced immunity</w:t>
      </w:r>
      <w:r>
        <w:t xml:space="preserve">. Without </w:t>
      </w:r>
      <w:r w:rsidR="00542A8B">
        <w:t>access to</w:t>
      </w:r>
      <w:r w:rsidR="00B25CAA">
        <w:t xml:space="preserve"> </w:t>
      </w:r>
      <w:r w:rsidR="00B202AD">
        <w:t>comprehensive records</w:t>
      </w:r>
      <w:r w:rsidR="00B25CAA">
        <w:t xml:space="preserve"> of </w:t>
      </w:r>
      <w:r w:rsidR="00542A8B">
        <w:t xml:space="preserve">previously detected </w:t>
      </w:r>
      <w:r>
        <w:t>historical alloantibodies</w:t>
      </w:r>
      <w:r w:rsidR="00FF358B">
        <w:t xml:space="preserve"> by other organizations</w:t>
      </w:r>
      <w:r>
        <w:t>, an impossible task for</w:t>
      </w:r>
      <w:r w:rsidR="00542A8B">
        <w:t xml:space="preserve"> </w:t>
      </w:r>
      <w:r>
        <w:t>blood bank</w:t>
      </w:r>
      <w:r w:rsidR="00B202AD">
        <w:t xml:space="preserve">s </w:t>
      </w:r>
      <w:r>
        <w:t xml:space="preserve">to </w:t>
      </w:r>
      <w:r w:rsidR="00AD4E86">
        <w:t>collect from multiple institutions logistically and reliably</w:t>
      </w:r>
      <w:r>
        <w:t xml:space="preserve"> across the lifespan of patients, the risk for delayed hemolytic transfusion reaction</w:t>
      </w:r>
      <w:r w:rsidR="000A2814">
        <w:t>s</w:t>
      </w:r>
      <w:r>
        <w:t xml:space="preserve"> (DHTR</w:t>
      </w:r>
      <w:r w:rsidR="00B202AD">
        <w:t>) is ever present</w:t>
      </w:r>
      <w:r>
        <w:t>.</w:t>
      </w:r>
    </w:p>
    <w:p w14:paraId="36ECE8D0" w14:textId="2F557637" w:rsidR="004C58E1" w:rsidRDefault="000A2814" w:rsidP="004C58E1">
      <w:pPr>
        <w:pStyle w:val="ListParagraph"/>
        <w:numPr>
          <w:ilvl w:val="1"/>
          <w:numId w:val="1"/>
        </w:numPr>
        <w:spacing w:after="0" w:line="240" w:lineRule="auto"/>
      </w:pPr>
      <w:r>
        <w:t>The c</w:t>
      </w:r>
      <w:r w:rsidR="004C58E1">
        <w:t xml:space="preserve">urrent </w:t>
      </w:r>
      <w:r>
        <w:t xml:space="preserve">workforce </w:t>
      </w:r>
      <w:r w:rsidR="004C58E1">
        <w:t xml:space="preserve">state has </w:t>
      </w:r>
      <w:r>
        <w:t xml:space="preserve">blood bank </w:t>
      </w:r>
      <w:r w:rsidR="004C58E1">
        <w:t xml:space="preserve">technologists spending significant </w:t>
      </w:r>
      <w:r>
        <w:t xml:space="preserve">amounts of </w:t>
      </w:r>
      <w:r w:rsidR="004C58E1">
        <w:t>time</w:t>
      </w:r>
      <w:r>
        <w:t xml:space="preserve"> and effort in</w:t>
      </w:r>
      <w:r w:rsidR="004C58E1">
        <w:t xml:space="preserve"> reviewing medical charts and calling outside hospitals </w:t>
      </w:r>
      <w:r>
        <w:t xml:space="preserve">in </w:t>
      </w:r>
      <w:r w:rsidR="004C58E1">
        <w:t>attempt</w:t>
      </w:r>
      <w:r>
        <w:t>s</w:t>
      </w:r>
      <w:r w:rsidR="004C58E1">
        <w:t xml:space="preserve"> to gather transfusion and alloantibody histories </w:t>
      </w:r>
      <w:r>
        <w:t>of</w:t>
      </w:r>
      <w:r w:rsidR="004C58E1">
        <w:t xml:space="preserve"> patients with positive antibody screens.</w:t>
      </w:r>
    </w:p>
    <w:p w14:paraId="0AA2DAD7" w14:textId="0B86C8F9" w:rsidR="00E30FB5" w:rsidRPr="00941023" w:rsidRDefault="004C58E1" w:rsidP="007F5F10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bCs/>
        </w:rPr>
      </w:pPr>
      <w:r w:rsidRPr="00941023">
        <w:rPr>
          <w:rFonts w:cstheme="minorHAnsi"/>
        </w:rPr>
        <w:t xml:space="preserve">Over a dozen peer-reviewed research articles spanning the last two decades have appeared in </w:t>
      </w:r>
      <w:r w:rsidR="000A2814" w:rsidRPr="00941023">
        <w:rPr>
          <w:rFonts w:cstheme="minorHAnsi"/>
        </w:rPr>
        <w:t>t</w:t>
      </w:r>
      <w:r w:rsidRPr="00941023">
        <w:rPr>
          <w:rFonts w:cstheme="minorHAnsi"/>
        </w:rPr>
        <w:t xml:space="preserve">ransfusion medicine journals advocating for the creation and adoption of a shared </w:t>
      </w:r>
      <w:r w:rsidR="000A2814" w:rsidRPr="00941023">
        <w:rPr>
          <w:rFonts w:cstheme="minorHAnsi"/>
        </w:rPr>
        <w:t xml:space="preserve">information </w:t>
      </w:r>
      <w:r w:rsidRPr="00941023">
        <w:rPr>
          <w:rFonts w:cstheme="minorHAnsi"/>
        </w:rPr>
        <w:t xml:space="preserve">resource </w:t>
      </w:r>
      <w:r w:rsidR="000A2814" w:rsidRPr="00941023">
        <w:rPr>
          <w:rFonts w:cstheme="minorHAnsi"/>
        </w:rPr>
        <w:t xml:space="preserve">regarding the existence of </w:t>
      </w:r>
      <w:r w:rsidRPr="00941023">
        <w:rPr>
          <w:rFonts w:cstheme="minorHAnsi"/>
        </w:rPr>
        <w:t xml:space="preserve">historical </w:t>
      </w:r>
      <w:r w:rsidR="00BB09E8" w:rsidRPr="00941023">
        <w:rPr>
          <w:rFonts w:cstheme="minorHAnsi"/>
        </w:rPr>
        <w:t>alloantibodies in</w:t>
      </w:r>
      <w:r w:rsidR="000A2814" w:rsidRPr="00941023">
        <w:rPr>
          <w:rFonts w:cstheme="minorHAnsi"/>
        </w:rPr>
        <w:t xml:space="preserve"> patients.</w:t>
      </w:r>
      <w:r w:rsidR="00D147F2">
        <w:rPr>
          <w:rFonts w:cstheme="minorHAnsi"/>
        </w:rPr>
        <w:t>(</w:t>
      </w:r>
      <w:r w:rsidRPr="00941023">
        <w:rPr>
          <w:rFonts w:cstheme="minorHAnsi"/>
        </w:rPr>
        <w:t xml:space="preserve"> </w:t>
      </w:r>
      <w:r w:rsidR="00BB09E8" w:rsidRPr="00941023">
        <w:rPr>
          <w:rFonts w:cstheme="minorHAnsi"/>
        </w:rPr>
        <w:t>See</w:t>
      </w:r>
      <w:r w:rsidR="00D147F2">
        <w:rPr>
          <w:rFonts w:cstheme="minorHAnsi"/>
        </w:rPr>
        <w:t>:</w:t>
      </w:r>
      <w:r w:rsidR="00BB09E8" w:rsidRPr="00941023">
        <w:rPr>
          <w:rFonts w:cstheme="minorHAnsi"/>
        </w:rPr>
        <w:t xml:space="preserve"> 1.</w:t>
      </w:r>
      <w:r w:rsidR="006404E7" w:rsidRPr="00941023">
        <w:rPr>
          <w:rFonts w:cstheme="minorHAnsi"/>
        </w:rPr>
        <w:t>)</w:t>
      </w:r>
      <w:r w:rsidR="00BB09E8" w:rsidRPr="00941023">
        <w:rPr>
          <w:rFonts w:cstheme="minorHAnsi"/>
        </w:rPr>
        <w:t xml:space="preserve"> </w:t>
      </w:r>
      <w:r w:rsidR="007F5F10" w:rsidRPr="00941023">
        <w:rPr>
          <w:rFonts w:cstheme="minorHAnsi"/>
          <w:color w:val="212121"/>
          <w:shd w:val="clear" w:color="auto" w:fill="FFFFFF"/>
        </w:rPr>
        <w:t xml:space="preserve">Harm SK, Yazer MH, Monis GF, Triulzi DJ, Aubuchon JP, Delaney M. </w:t>
      </w:r>
      <w:r w:rsidR="007F5F10" w:rsidRPr="00D147F2">
        <w:rPr>
          <w:rFonts w:cstheme="minorHAnsi"/>
          <w:b/>
          <w:bCs/>
          <w:color w:val="212121"/>
          <w:shd w:val="clear" w:color="auto" w:fill="FFFFFF"/>
        </w:rPr>
        <w:t>A centralized recipient database enhances the serologic safety of RBC transfusions for patients with sickle cell disease</w:t>
      </w:r>
      <w:r w:rsidR="007F5F10" w:rsidRPr="00941023">
        <w:rPr>
          <w:rFonts w:cstheme="minorHAnsi"/>
          <w:color w:val="212121"/>
          <w:shd w:val="clear" w:color="auto" w:fill="FFFFFF"/>
        </w:rPr>
        <w:t xml:space="preserve">. Am J Clin Pathol. 2014 Feb;141(2):256-61; </w:t>
      </w:r>
      <w:r w:rsidR="006404E7" w:rsidRPr="00941023">
        <w:rPr>
          <w:rFonts w:cstheme="minorHAnsi"/>
        </w:rPr>
        <w:t xml:space="preserve"> </w:t>
      </w:r>
      <w:r w:rsidR="00BB09E8" w:rsidRPr="00941023">
        <w:rPr>
          <w:rFonts w:cstheme="minorHAnsi"/>
        </w:rPr>
        <w:t>2.</w:t>
      </w:r>
      <w:r w:rsidR="006404E7" w:rsidRPr="00941023">
        <w:rPr>
          <w:rFonts w:cstheme="minorHAnsi"/>
        </w:rPr>
        <w:t>)</w:t>
      </w:r>
      <w:r w:rsidR="00BB09E8" w:rsidRPr="00941023">
        <w:rPr>
          <w:rFonts w:cstheme="minorHAnsi"/>
        </w:rPr>
        <w:t xml:space="preserve"> </w:t>
      </w:r>
      <w:r w:rsidR="00E30FB5" w:rsidRPr="00941023">
        <w:rPr>
          <w:rFonts w:cstheme="minorHAnsi"/>
          <w:color w:val="212121"/>
          <w:shd w:val="clear" w:color="auto" w:fill="FFFFFF"/>
        </w:rPr>
        <w:t>Schwickerath V, Kowalski M, Menitove JE.</w:t>
      </w:r>
      <w:r w:rsidR="00E30FB5" w:rsidRPr="00E873EC">
        <w:rPr>
          <w:rFonts w:cstheme="minorHAnsi"/>
          <w:b/>
          <w:bCs/>
          <w:color w:val="212121"/>
          <w:shd w:val="clear" w:color="auto" w:fill="FFFFFF"/>
        </w:rPr>
        <w:t xml:space="preserve"> Regional registry of patient alloantibodies: first-year experience</w:t>
      </w:r>
      <w:r w:rsidR="00E30FB5" w:rsidRPr="00941023">
        <w:rPr>
          <w:rFonts w:cstheme="minorHAnsi"/>
          <w:color w:val="212121"/>
          <w:shd w:val="clear" w:color="auto" w:fill="FFFFFF"/>
        </w:rPr>
        <w:t xml:space="preserve">. Transfusion. 2010 Jul;50(7):1465-70; </w:t>
      </w:r>
      <w:r w:rsidR="00941023" w:rsidRPr="00941023">
        <w:rPr>
          <w:rFonts w:cstheme="minorHAnsi"/>
          <w:color w:val="212121"/>
          <w:shd w:val="clear" w:color="auto" w:fill="FFFFFF"/>
        </w:rPr>
        <w:t xml:space="preserve">and </w:t>
      </w:r>
      <w:r w:rsidR="00E30FB5" w:rsidRPr="00941023">
        <w:rPr>
          <w:rFonts w:cstheme="minorHAnsi"/>
          <w:color w:val="212121"/>
          <w:shd w:val="clear" w:color="auto" w:fill="FFFFFF"/>
        </w:rPr>
        <w:t>3.)</w:t>
      </w:r>
      <w:r w:rsidR="00941023" w:rsidRPr="00941023">
        <w:rPr>
          <w:rFonts w:cstheme="minorHAnsi"/>
          <w:color w:val="212121"/>
          <w:shd w:val="clear" w:color="auto" w:fill="FFFFFF"/>
        </w:rPr>
        <w:t xml:space="preserve"> Williams LA 3rd, Lorenz RG, Tahir A, Pham HP, Marques MB. </w:t>
      </w:r>
      <w:r w:rsidR="00941023" w:rsidRPr="00D147F2">
        <w:rPr>
          <w:rFonts w:cstheme="minorHAnsi"/>
          <w:b/>
          <w:bCs/>
          <w:color w:val="212121"/>
          <w:shd w:val="clear" w:color="auto" w:fill="FFFFFF"/>
        </w:rPr>
        <w:t>High Percentage of Evanescent Red Cell Antibodies in Patients with Sickle Cell Disease Highlights Need for a National Antibody Database</w:t>
      </w:r>
      <w:r w:rsidR="00941023" w:rsidRPr="00941023">
        <w:rPr>
          <w:rFonts w:cstheme="minorHAnsi"/>
          <w:color w:val="212121"/>
          <w:shd w:val="clear" w:color="auto" w:fill="FFFFFF"/>
        </w:rPr>
        <w:t>. South Med J. 2016 Sep;109(9):588-91.</w:t>
      </w:r>
      <w:r w:rsidR="00D147F2">
        <w:rPr>
          <w:rFonts w:cstheme="minorHAnsi"/>
          <w:color w:val="212121"/>
          <w:shd w:val="clear" w:color="auto" w:fill="FFFFFF"/>
        </w:rPr>
        <w:t>)</w:t>
      </w:r>
    </w:p>
    <w:p w14:paraId="17AD7869" w14:textId="5244DBC9" w:rsidR="004C58E1" w:rsidRDefault="006404E7" w:rsidP="004C58E1">
      <w:pPr>
        <w:pStyle w:val="ListParagraph"/>
        <w:numPr>
          <w:ilvl w:val="1"/>
          <w:numId w:val="1"/>
        </w:numPr>
        <w:spacing w:after="0" w:line="240" w:lineRule="auto"/>
      </w:pPr>
      <w:r>
        <w:t>In this regard t</w:t>
      </w:r>
      <w:r w:rsidR="004C58E1">
        <w:t>he Alloantibody Exchange offers</w:t>
      </w:r>
      <w:r w:rsidR="002C1E5A">
        <w:t xml:space="preserve"> </w:t>
      </w:r>
      <w:r w:rsidR="00B47CEA">
        <w:t xml:space="preserve">the potential </w:t>
      </w:r>
      <w:r w:rsidR="002C1E5A">
        <w:t>for</w:t>
      </w:r>
      <w:r w:rsidR="004C58E1">
        <w:t xml:space="preserve"> blood banks </w:t>
      </w:r>
      <w:r w:rsidR="002C1E5A">
        <w:t>across the country to connect</w:t>
      </w:r>
      <w:r w:rsidR="004C58E1">
        <w:t xml:space="preserve"> </w:t>
      </w:r>
      <w:r w:rsidR="00312768">
        <w:t xml:space="preserve">in the </w:t>
      </w:r>
      <w:r w:rsidR="004C58E1">
        <w:t>sharing of alloantibody histories</w:t>
      </w:r>
      <w:r w:rsidR="002C1E5A">
        <w:t xml:space="preserve">, ABO types and special instructions </w:t>
      </w:r>
      <w:r w:rsidR="00B47CEA">
        <w:t>regarding a patient’s hemotherapy to enhance transfusion safety. Currently</w:t>
      </w:r>
      <w:r w:rsidR="004C58E1">
        <w:t xml:space="preserve"> </w:t>
      </w:r>
      <w:r w:rsidR="00B47CEA">
        <w:t>e</w:t>
      </w:r>
      <w:r w:rsidR="004C58E1">
        <w:t>xisting efforts to connect patient health records involve a patchwork of vendor specific (</w:t>
      </w:r>
      <w:r w:rsidR="00B47CEA">
        <w:t xml:space="preserve">e.g., </w:t>
      </w:r>
      <w:r w:rsidR="004C58E1">
        <w:t>“EPIC’s Care Everywhere”</w:t>
      </w:r>
      <w:r w:rsidR="00B47CEA">
        <w:t xml:space="preserve">) </w:t>
      </w:r>
      <w:r w:rsidR="004C58E1">
        <w:t>and state specific (</w:t>
      </w:r>
      <w:r w:rsidR="00B47CEA">
        <w:t>e.g., “Mass</w:t>
      </w:r>
      <w:r w:rsidR="004C58E1">
        <w:t xml:space="preserve"> HIway”) programs. </w:t>
      </w:r>
      <w:r w:rsidR="004C58E1">
        <w:lastRenderedPageBreak/>
        <w:t>Unfortunately, these alternative tools do not connect to all vendors or states</w:t>
      </w:r>
      <w:r w:rsidR="00B47CEA">
        <w:t xml:space="preserve"> </w:t>
      </w:r>
      <w:r>
        <w:t>and</w:t>
      </w:r>
      <w:r w:rsidR="004C58E1">
        <w:t xml:space="preserve"> do not reliably </w:t>
      </w:r>
      <w:r w:rsidR="00B47CEA">
        <w:t xml:space="preserve">allow for the </w:t>
      </w:r>
      <w:r w:rsidR="00260CDB">
        <w:t xml:space="preserve">documenting of </w:t>
      </w:r>
      <w:r w:rsidR="004C58E1">
        <w:t>alloantibodies</w:t>
      </w:r>
      <w:r w:rsidR="00260CDB">
        <w:t xml:space="preserve"> found by different blood banks</w:t>
      </w:r>
      <w:r w:rsidR="004C58E1">
        <w:t>.</w:t>
      </w:r>
    </w:p>
    <w:p w14:paraId="5FA9BA51" w14:textId="77777777" w:rsidR="004C58E1" w:rsidRDefault="004C58E1" w:rsidP="004C58E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A</w:t>
      </w:r>
      <w:r>
        <w:rPr>
          <w:u w:val="single"/>
        </w:rPr>
        <w:t>ssessment</w:t>
      </w:r>
      <w:r>
        <w:t>:</w:t>
      </w:r>
    </w:p>
    <w:p w14:paraId="5CE00C3F" w14:textId="5B946688" w:rsidR="004C58E1" w:rsidRPr="002E6E43" w:rsidRDefault="002E6E43" w:rsidP="002E6E43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 xml:space="preserve">In this blood safety initiative, </w:t>
      </w:r>
      <w:r w:rsidR="004C58E1" w:rsidRPr="002E6E43">
        <w:t>The Alloantibody Exchange is clinically essential software</w:t>
      </w:r>
      <w:r w:rsidRPr="002E6E43">
        <w:t xml:space="preserve"> which allows</w:t>
      </w:r>
      <w:r w:rsidR="004C58E1">
        <w:t xml:space="preserve"> </w:t>
      </w:r>
      <w:r w:rsidR="005C2436">
        <w:t xml:space="preserve">critical blood bank </w:t>
      </w:r>
      <w:r>
        <w:t>d</w:t>
      </w:r>
      <w:r w:rsidR="004C58E1">
        <w:t xml:space="preserve">ata </w:t>
      </w:r>
      <w:r>
        <w:t xml:space="preserve">to be </w:t>
      </w:r>
      <w:r w:rsidR="004C58E1">
        <w:t xml:space="preserve">exchanged </w:t>
      </w:r>
      <w:r>
        <w:t xml:space="preserve">benefiting </w:t>
      </w:r>
      <w:r w:rsidR="004C58E1">
        <w:t>the approximately 1% of patients at high</w:t>
      </w:r>
      <w:r>
        <w:t>est</w:t>
      </w:r>
      <w:r w:rsidR="004C58E1">
        <w:t xml:space="preserve"> risk </w:t>
      </w:r>
      <w:r>
        <w:t xml:space="preserve">for </w:t>
      </w:r>
      <w:r w:rsidR="004C58E1">
        <w:t>adverse events from transfusion</w:t>
      </w:r>
      <w:r>
        <w:t xml:space="preserve">. </w:t>
      </w:r>
      <w:r w:rsidR="004C58E1">
        <w:t>Only information specific to blood transfusion</w:t>
      </w:r>
      <w:r w:rsidR="006404E7">
        <w:t xml:space="preserve"> </w:t>
      </w:r>
      <w:r>
        <w:t>compatibility</w:t>
      </w:r>
      <w:r w:rsidR="004C58E1">
        <w:t xml:space="preserve"> is exchanged</w:t>
      </w:r>
      <w:r>
        <w:t xml:space="preserve"> in this </w:t>
      </w:r>
      <w:r w:rsidR="005C2436">
        <w:t>program.</w:t>
      </w:r>
    </w:p>
    <w:p w14:paraId="1A42C67F" w14:textId="3F8F3C40" w:rsidR="004C58E1" w:rsidRDefault="005C2436" w:rsidP="004C58E1">
      <w:pPr>
        <w:pStyle w:val="ListParagraph"/>
        <w:numPr>
          <w:ilvl w:val="1"/>
          <w:numId w:val="1"/>
        </w:numPr>
        <w:spacing w:after="0" w:line="240" w:lineRule="auto"/>
      </w:pPr>
      <w:r>
        <w:t>With respect to d</w:t>
      </w:r>
      <w:r w:rsidR="004C58E1">
        <w:t>ata sharing</w:t>
      </w:r>
      <w:r>
        <w:t xml:space="preserve">, </w:t>
      </w:r>
      <w:r w:rsidR="00883033">
        <w:t xml:space="preserve">the Alloantibody Exchange has prepared documents for review by IT security (e.g., SOC 2 type 2). </w:t>
      </w:r>
    </w:p>
    <w:p w14:paraId="0077F702" w14:textId="5CEF09B8" w:rsidR="004C58E1" w:rsidRDefault="00312768" w:rsidP="00133320">
      <w:pPr>
        <w:pStyle w:val="ListParagraph"/>
        <w:numPr>
          <w:ilvl w:val="1"/>
          <w:numId w:val="1"/>
        </w:numPr>
        <w:spacing w:after="0" w:line="240" w:lineRule="auto"/>
      </w:pPr>
      <w:r>
        <w:t>Regarding</w:t>
      </w:r>
      <w:r w:rsidR="00FF358B">
        <w:t xml:space="preserve"> d</w:t>
      </w:r>
      <w:r w:rsidR="004C58E1">
        <w:t>ata retrieval</w:t>
      </w:r>
      <w:r w:rsidR="00FF358B">
        <w:t>, t</w:t>
      </w:r>
      <w:r w:rsidR="004C58E1">
        <w:t>he Alloantibody Exchange provide</w:t>
      </w:r>
      <w:r w:rsidR="00FF358B">
        <w:t>s</w:t>
      </w:r>
      <w:r w:rsidR="004C58E1">
        <w:t xml:space="preserve"> access to their secure web portal. This</w:t>
      </w:r>
      <w:r w:rsidR="00FF358B">
        <w:t xml:space="preserve"> bidirectional functionality thus</w:t>
      </w:r>
      <w:r w:rsidR="004C58E1">
        <w:t xml:space="preserve"> allow</w:t>
      </w:r>
      <w:r w:rsidR="00FF358B">
        <w:t>s</w:t>
      </w:r>
      <w:r w:rsidR="004C58E1">
        <w:t xml:space="preserve"> </w:t>
      </w:r>
      <w:r w:rsidR="00FF358B">
        <w:t xml:space="preserve">our Blood </w:t>
      </w:r>
      <w:r w:rsidR="0096452A">
        <w:t>B</w:t>
      </w:r>
      <w:r w:rsidR="00FF358B">
        <w:t xml:space="preserve">ank </w:t>
      </w:r>
      <w:r w:rsidR="0096452A">
        <w:t xml:space="preserve">staff </w:t>
      </w:r>
      <w:r w:rsidR="004C58E1">
        <w:t>to review alloantibody histories from other institutions</w:t>
      </w:r>
      <w:r w:rsidR="005D7133">
        <w:t xml:space="preserve"> more easily</w:t>
      </w:r>
      <w:r w:rsidR="00FF358B">
        <w:t>,</w:t>
      </w:r>
      <w:r w:rsidR="0096452A">
        <w:t xml:space="preserve"> </w:t>
      </w:r>
      <w:r w:rsidR="00FF358B">
        <w:t xml:space="preserve">thus </w:t>
      </w:r>
      <w:r w:rsidR="0096452A">
        <w:t xml:space="preserve">aiding in the selection of compatible blood. </w:t>
      </w:r>
      <w:r w:rsidR="004C58E1">
        <w:t xml:space="preserve">In our current </w:t>
      </w:r>
      <w:r w:rsidR="0096452A">
        <w:t xml:space="preserve">challenging workforce </w:t>
      </w:r>
      <w:r w:rsidR="005D7133">
        <w:t>environment,</w:t>
      </w:r>
      <w:r w:rsidR="0096452A">
        <w:t xml:space="preserve"> the ability for our staff to interact</w:t>
      </w:r>
      <w:r w:rsidR="004C58E1">
        <w:t xml:space="preserve"> </w:t>
      </w:r>
      <w:r w:rsidR="0096452A">
        <w:t xml:space="preserve">in </w:t>
      </w:r>
      <w:r w:rsidR="005D7133">
        <w:t>such a</w:t>
      </w:r>
      <w:r w:rsidR="0096452A">
        <w:t xml:space="preserve"> manner </w:t>
      </w:r>
      <w:r w:rsidR="004C58E1">
        <w:t>mak</w:t>
      </w:r>
      <w:r w:rsidR="0096452A">
        <w:t>es</w:t>
      </w:r>
      <w:r w:rsidR="004C58E1">
        <w:t xml:space="preserve"> the patient</w:t>
      </w:r>
      <w:r w:rsidR="005D7133">
        <w:t>’s</w:t>
      </w:r>
      <w:r w:rsidR="004C58E1">
        <w:t xml:space="preserve"> </w:t>
      </w:r>
      <w:r w:rsidR="005D7133">
        <w:t xml:space="preserve">serological </w:t>
      </w:r>
      <w:r w:rsidR="004C58E1">
        <w:t>history review more efficient and</w:t>
      </w:r>
      <w:r w:rsidR="005D7133">
        <w:t xml:space="preserve"> </w:t>
      </w:r>
      <w:r w:rsidR="004C58E1">
        <w:t>accurate improv</w:t>
      </w:r>
      <w:r w:rsidR="005D7133">
        <w:t>ing</w:t>
      </w:r>
      <w:r w:rsidR="004C58E1">
        <w:t xml:space="preserve"> </w:t>
      </w:r>
      <w:r w:rsidR="005D7133">
        <w:t>our laboratory</w:t>
      </w:r>
      <w:r w:rsidR="004C58E1">
        <w:t xml:space="preserve"> function</w:t>
      </w:r>
      <w:r w:rsidR="005D7133">
        <w:t xml:space="preserve">ing and enhancing patient safety. For additional information regarding IT particulars, please </w:t>
      </w:r>
      <w:r w:rsidR="00133320">
        <w:t xml:space="preserve">contact </w:t>
      </w:r>
      <w:r w:rsidR="004C58E1">
        <w:t xml:space="preserve">the Alloantibody Exchange at </w:t>
      </w:r>
      <w:r w:rsidR="004B5A84" w:rsidRPr="004B5A84">
        <w:rPr>
          <w:u w:val="single"/>
        </w:rPr>
        <w:t>george.hauser@alloantibody.org</w:t>
      </w:r>
      <w:r w:rsidR="004C58E1">
        <w:t xml:space="preserve"> for details.</w:t>
      </w:r>
      <w:r w:rsidR="00133320">
        <w:t xml:space="preserve"> Thank you.</w:t>
      </w:r>
    </w:p>
    <w:p w14:paraId="64F53BE3" w14:textId="301459CD" w:rsidR="004E5C6E" w:rsidRDefault="004E5C6E" w:rsidP="004E5C6E">
      <w:pPr>
        <w:spacing w:after="0" w:line="240" w:lineRule="auto"/>
      </w:pPr>
    </w:p>
    <w:p w14:paraId="52F30A5E" w14:textId="77777777" w:rsidR="004B5A84" w:rsidRPr="004B5A84" w:rsidRDefault="004B5A84" w:rsidP="004B5A8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ecommendation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7C5DC26" w14:textId="4FCBA1D6" w:rsidR="004E5C6E" w:rsidRPr="004B5A84" w:rsidRDefault="004B5A84" w:rsidP="004B5A8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4B5A84">
        <w:rPr>
          <w:rFonts w:ascii="Calibri" w:hAnsi="Calibri" w:cs="Calibri"/>
          <w:color w:val="000000"/>
        </w:rPr>
        <w:t xml:space="preserve">We recommend the necessary IT personnel contact the Alloantibody Exchange at </w:t>
      </w:r>
      <w:r w:rsidRPr="004B5A84">
        <w:rPr>
          <w:u w:val="single"/>
        </w:rPr>
        <w:t>george</w:t>
      </w:r>
      <w:r w:rsidRPr="004B5A84">
        <w:rPr>
          <w:rFonts w:ascii="Calibri" w:hAnsi="Calibri" w:cs="Calibri"/>
          <w:color w:val="000000"/>
          <w:u w:val="single"/>
        </w:rPr>
        <w:t>.hauser@alloantibody.org</w:t>
      </w:r>
      <w:r w:rsidRPr="004B5A84">
        <w:rPr>
          <w:rFonts w:ascii="Calibri" w:hAnsi="Calibri" w:cs="Calibri"/>
          <w:color w:val="000000"/>
        </w:rPr>
        <w:t xml:space="preserve"> for details.</w:t>
      </w:r>
    </w:p>
    <w:p w14:paraId="11B198FB" w14:textId="654691F3" w:rsidR="004E5C6E" w:rsidRDefault="004E5C6E" w:rsidP="004E5C6E">
      <w:pPr>
        <w:spacing w:after="0" w:line="240" w:lineRule="auto"/>
      </w:pPr>
    </w:p>
    <w:p w14:paraId="20BB7D8D" w14:textId="13D57B0F" w:rsidR="004B5A84" w:rsidRDefault="004B5A84" w:rsidP="004B5A84">
      <w:pPr>
        <w:pStyle w:val="Heading1"/>
      </w:pPr>
      <w:r>
        <w:t>Template 2</w:t>
      </w:r>
    </w:p>
    <w:p w14:paraId="5F59FD07" w14:textId="77777777" w:rsidR="004E5C6E" w:rsidRDefault="004E5C6E" w:rsidP="004E5C6E">
      <w:pPr>
        <w:spacing w:after="0" w:line="240" w:lineRule="auto"/>
      </w:pPr>
    </w:p>
    <w:p w14:paraId="2899C3E7" w14:textId="0F64C288" w:rsidR="004E5C6E" w:rsidRDefault="004E5C6E" w:rsidP="004E5C6E">
      <w:r w:rsidRPr="00F04A05">
        <w:rPr>
          <w:b/>
          <w:bCs/>
        </w:rPr>
        <w:t>What is the problem that needs to be solved?</w:t>
      </w:r>
      <w:r>
        <w:t xml:space="preserve"> Information regarding the presence of </w:t>
      </w:r>
      <w:r w:rsidRPr="0029434C">
        <w:t>alloantibodies</w:t>
      </w:r>
      <w:r>
        <w:t xml:space="preserve"> to red blood cells that a patient may possess is </w:t>
      </w:r>
      <w:r w:rsidRPr="0029434C">
        <w:t xml:space="preserve">not routinely shared between blood banks in an electronic format, requiring blood banks to use alternative, less reliable, mechanisms that are inefficient and incomplete. </w:t>
      </w:r>
      <w:r w:rsidRPr="00F04A05">
        <w:rPr>
          <w:b/>
          <w:bCs/>
        </w:rPr>
        <w:t>Why is it a problem?</w:t>
      </w:r>
      <w:r w:rsidRPr="0029434C">
        <w:t xml:space="preserve"> Transfusion of incompatible blood products, because of an incomplete knowledge of a patient’s alloantibody</w:t>
      </w:r>
      <w:r>
        <w:t xml:space="preserve"> status and</w:t>
      </w:r>
      <w:r w:rsidRPr="0029434C">
        <w:t xml:space="preserve"> history, creates a situation that may lead to injury and death.</w:t>
      </w:r>
      <w:r>
        <w:t xml:space="preserve"> </w:t>
      </w:r>
      <w:r w:rsidRPr="00F04A05">
        <w:rPr>
          <w:b/>
          <w:bCs/>
        </w:rPr>
        <w:t>Who is impacted?</w:t>
      </w:r>
      <w:r w:rsidRPr="0029434C">
        <w:t xml:space="preserve"> All patients who receive blood products</w:t>
      </w:r>
      <w:r>
        <w:t xml:space="preserve"> or blood bank diagnostic testing. </w:t>
      </w:r>
      <w:r w:rsidRPr="00F04A05">
        <w:rPr>
          <w:b/>
          <w:bCs/>
        </w:rPr>
        <w:t>When, where, how, and how often is the problem observed?</w:t>
      </w:r>
      <w:r w:rsidRPr="0029434C">
        <w:t xml:space="preserve"> Blood transfusion</w:t>
      </w:r>
      <w:r>
        <w:t>s</w:t>
      </w:r>
      <w:r w:rsidRPr="0029434C">
        <w:t xml:space="preserve"> </w:t>
      </w:r>
      <w:r>
        <w:t>are</w:t>
      </w:r>
      <w:r w:rsidRPr="0029434C">
        <w:t xml:space="preserve"> essential to the lives of many patient groups including patients receiving chemotherapy, stem cell transplants, sickle cell disease, pregnancy, </w:t>
      </w:r>
      <w:r>
        <w:t xml:space="preserve">surgical interventions, </w:t>
      </w:r>
      <w:r w:rsidRPr="0029434C">
        <w:t xml:space="preserve">and many other conditions. Alloantibodies exist in approximately 1% of patients, and </w:t>
      </w:r>
      <w:r w:rsidR="00302D70">
        <w:t xml:space="preserve">strategies and mechanisms </w:t>
      </w:r>
      <w:r w:rsidRPr="0029434C">
        <w:t xml:space="preserve">accounting for them </w:t>
      </w:r>
      <w:r>
        <w:t xml:space="preserve">and mitigating their involvement </w:t>
      </w:r>
      <w:r w:rsidRPr="0029434C">
        <w:t>in blood transfusion</w:t>
      </w:r>
      <w:r>
        <w:t xml:space="preserve">s are mandated by </w:t>
      </w:r>
      <w:r w:rsidR="00302D70">
        <w:t xml:space="preserve">federal and state </w:t>
      </w:r>
      <w:r>
        <w:t>regulatory</w:t>
      </w:r>
      <w:r w:rsidR="00302D70">
        <w:t xml:space="preserve"> entities, e.g., </w:t>
      </w:r>
      <w:r w:rsidR="00936AF3">
        <w:t xml:space="preserve">the U.S. </w:t>
      </w:r>
      <w:r w:rsidR="00302D70">
        <w:t>Food and Drug Administration (FDA)</w:t>
      </w:r>
      <w:r>
        <w:t xml:space="preserve"> and accreditation </w:t>
      </w:r>
      <w:r w:rsidR="00302D70">
        <w:t>organizations, e.g., The Joint Commission</w:t>
      </w:r>
      <w:r w:rsidR="00992BA9">
        <w:t xml:space="preserve">. Knowledge of the presence </w:t>
      </w:r>
      <w:r w:rsidR="00936AF3">
        <w:t xml:space="preserve">of these antibodies </w:t>
      </w:r>
      <w:r w:rsidR="00992BA9">
        <w:t>helps the Blood Bank find compatible blood</w:t>
      </w:r>
      <w:r>
        <w:t xml:space="preserve"> </w:t>
      </w:r>
      <w:r w:rsidR="00302D70">
        <w:t xml:space="preserve">as well as </w:t>
      </w:r>
      <w:r w:rsidR="00992BA9">
        <w:t xml:space="preserve">resulting </w:t>
      </w:r>
      <w:r>
        <w:t>in decreasing the incidence of transfusion associated adverse events invoked by them,</w:t>
      </w:r>
      <w:r w:rsidR="00992BA9">
        <w:t xml:space="preserve"> </w:t>
      </w:r>
      <w:r>
        <w:t xml:space="preserve">thus enhancing patient </w:t>
      </w:r>
      <w:r w:rsidR="00992BA9">
        <w:t xml:space="preserve">blood </w:t>
      </w:r>
      <w:r>
        <w:t>safety</w:t>
      </w:r>
      <w:r w:rsidR="00992BA9">
        <w:t xml:space="preserve"> and the hospital</w:t>
      </w:r>
      <w:r w:rsidR="00936AF3">
        <w:t>’</w:t>
      </w:r>
      <w:r w:rsidR="00992BA9">
        <w:t>s financial operations.</w:t>
      </w:r>
    </w:p>
    <w:p w14:paraId="7750E640" w14:textId="77777777" w:rsidR="00760C8B" w:rsidRDefault="00760C8B"/>
    <w:sectPr w:rsidR="0076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52D"/>
    <w:multiLevelType w:val="multilevel"/>
    <w:tmpl w:val="2EE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413E4"/>
    <w:multiLevelType w:val="multilevel"/>
    <w:tmpl w:val="847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0ED6"/>
    <w:multiLevelType w:val="hybridMultilevel"/>
    <w:tmpl w:val="C6B4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6626">
    <w:abstractNumId w:val="2"/>
  </w:num>
  <w:num w:numId="2" w16cid:durableId="100302800">
    <w:abstractNumId w:val="1"/>
  </w:num>
  <w:num w:numId="3" w16cid:durableId="153888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E1"/>
    <w:rsid w:val="000558F2"/>
    <w:rsid w:val="000624DC"/>
    <w:rsid w:val="000809A6"/>
    <w:rsid w:val="000A2814"/>
    <w:rsid w:val="00133320"/>
    <w:rsid w:val="001D453F"/>
    <w:rsid w:val="00260CDB"/>
    <w:rsid w:val="002613C4"/>
    <w:rsid w:val="002911A8"/>
    <w:rsid w:val="002C1E5A"/>
    <w:rsid w:val="002E6E43"/>
    <w:rsid w:val="00302D70"/>
    <w:rsid w:val="00312768"/>
    <w:rsid w:val="004B5A84"/>
    <w:rsid w:val="004C58E1"/>
    <w:rsid w:val="004E5C6E"/>
    <w:rsid w:val="00542A8B"/>
    <w:rsid w:val="005C2436"/>
    <w:rsid w:val="005D7133"/>
    <w:rsid w:val="00610ECD"/>
    <w:rsid w:val="006404E7"/>
    <w:rsid w:val="006D60B3"/>
    <w:rsid w:val="00760C8B"/>
    <w:rsid w:val="00764C8C"/>
    <w:rsid w:val="007F5F10"/>
    <w:rsid w:val="00883033"/>
    <w:rsid w:val="00936AF3"/>
    <w:rsid w:val="00941023"/>
    <w:rsid w:val="0096452A"/>
    <w:rsid w:val="0097518C"/>
    <w:rsid w:val="00992BA9"/>
    <w:rsid w:val="00AD4E86"/>
    <w:rsid w:val="00B202AD"/>
    <w:rsid w:val="00B25CAA"/>
    <w:rsid w:val="00B47CEA"/>
    <w:rsid w:val="00BB09E8"/>
    <w:rsid w:val="00D147F2"/>
    <w:rsid w:val="00D70E1E"/>
    <w:rsid w:val="00E30FB5"/>
    <w:rsid w:val="00E873EC"/>
    <w:rsid w:val="00F717D0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D372"/>
  <w15:chartTrackingRefBased/>
  <w15:docId w15:val="{1BF14F58-8480-4BFD-A265-0F5D244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E1"/>
  </w:style>
  <w:style w:type="paragraph" w:styleId="Heading1">
    <w:name w:val="heading 1"/>
    <w:basedOn w:val="Normal"/>
    <w:next w:val="Normal"/>
    <w:link w:val="Heading1Char"/>
    <w:uiPriority w:val="9"/>
    <w:qFormat/>
    <w:rsid w:val="00975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8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7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B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Andrzejewski, Chester MD/Dir</dc:creator>
  <cp:keywords/>
  <dc:description/>
  <cp:lastModifiedBy>George Hauser</cp:lastModifiedBy>
  <cp:revision>6</cp:revision>
  <dcterms:created xsi:type="dcterms:W3CDTF">2023-05-09T16:42:00Z</dcterms:created>
  <dcterms:modified xsi:type="dcterms:W3CDTF">2024-03-13T14:26:00Z</dcterms:modified>
</cp:coreProperties>
</file>